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29437255859375" w:right="0" w:firstLine="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single"/>
          <w:shd w:fill="auto" w:val="clear"/>
          <w:vertAlign w:val="baseline"/>
          <w:rtl w:val="0"/>
        </w:rPr>
        <w:t xml:space="preserve">PAYMENT TERMS</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680419921875" w:line="260.76619148254395" w:lineRule="auto"/>
        <w:ind w:left="12.806396484375" w:right="-6.400146484375" w:hanging="12.80639648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funeral account is due for payment before the date of the funeral unless otherwise agreed by us  in which case the account is due for payment within thirty days of our account.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422607421875" w:line="260.76504707336426" w:lineRule="auto"/>
        <w:ind w:left="15.014495849609375" w:right="64.05517578125" w:firstLine="1.76635742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Under Clause 3 of our Terms of Business we may recover the cost of taking legal action to make you  pay. </w:t>
      </w:r>
    </w:p>
    <w:sectPr>
      <w:pgSz w:h="16820" w:w="11900" w:orient="portrait"/>
      <w:pgMar w:bottom="13528.40087890625" w:top="1423.20068359375" w:left="1442.0254516601562" w:right="1434.960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